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5FC97" w14:textId="77777777" w:rsidR="00C04666" w:rsidRPr="00046119" w:rsidRDefault="00C04666" w:rsidP="00C04666">
      <w:pPr>
        <w:spacing w:after="0" w:line="240" w:lineRule="auto"/>
        <w:rPr>
          <w:rFonts w:ascii="TIMES" w:eastAsia="Times New Roman" w:hAnsi="TIMES" w:cs="Open Sans"/>
          <w:color w:val="333333"/>
          <w:kern w:val="0"/>
          <w:sz w:val="20"/>
          <w:szCs w:val="20"/>
          <w:lang w:val="en-US" w:eastAsia="pl-PL"/>
          <w14:ligatures w14:val="none"/>
        </w:rPr>
      </w:pPr>
      <w:r w:rsidRPr="00046119">
        <w:rPr>
          <w:rFonts w:ascii="TIMES" w:eastAsia="Times New Roman" w:hAnsi="TIMES" w:cs="Open Sans"/>
          <w:color w:val="333333"/>
          <w:kern w:val="0"/>
          <w:sz w:val="24"/>
          <w:szCs w:val="24"/>
          <w:lang w:val="en-US" w:eastAsia="pl-PL"/>
          <w14:ligatures w14:val="none"/>
        </w:rPr>
        <w:t>COUNCIL OF EUROPE</w:t>
      </w:r>
      <w:r w:rsidRPr="00046119">
        <w:rPr>
          <w:rFonts w:ascii="TIMES" w:eastAsia="Times New Roman" w:hAnsi="TIMES" w:cs="Open Sans"/>
          <w:color w:val="333333"/>
          <w:kern w:val="0"/>
          <w:sz w:val="20"/>
          <w:szCs w:val="20"/>
          <w:lang w:val="en-US" w:eastAsia="pl-PL"/>
          <w14:ligatures w14:val="none"/>
        </w:rPr>
        <w:br/>
      </w:r>
      <w:r w:rsidRPr="00046119">
        <w:rPr>
          <w:rFonts w:ascii="TIMES" w:eastAsia="Times New Roman" w:hAnsi="TIMES" w:cs="Open Sans"/>
          <w:color w:val="333333"/>
          <w:kern w:val="0"/>
          <w:sz w:val="24"/>
          <w:szCs w:val="24"/>
          <w:lang w:val="en-US" w:eastAsia="pl-PL"/>
          <w14:ligatures w14:val="none"/>
        </w:rPr>
        <w:t>COMMITTEE OF MINISTERS</w:t>
      </w:r>
    </w:p>
    <w:p w14:paraId="19B81921"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 </w:t>
      </w:r>
    </w:p>
    <w:p w14:paraId="46A8CC99" w14:textId="4F593611"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b/>
          <w:bCs/>
          <w:color w:val="333333"/>
          <w:kern w:val="0"/>
          <w:sz w:val="20"/>
          <w:szCs w:val="20"/>
          <w:lang w:val="en-US" w:eastAsia="pl-PL"/>
          <w14:ligatures w14:val="none"/>
        </w:rPr>
        <w:t>Recommendation Rec(2001)13</w:t>
      </w:r>
      <w:r>
        <w:rPr>
          <w:rFonts w:ascii="Open Sans" w:eastAsia="Times New Roman" w:hAnsi="Open Sans" w:cs="Open Sans"/>
          <w:b/>
          <w:bCs/>
          <w:color w:val="333333"/>
          <w:kern w:val="0"/>
          <w:sz w:val="20"/>
          <w:szCs w:val="20"/>
          <w:lang w:val="en-US" w:eastAsia="pl-PL"/>
          <w14:ligatures w14:val="none"/>
        </w:rPr>
        <w:t xml:space="preserve"> </w:t>
      </w:r>
      <w:r w:rsidRPr="00C04666">
        <w:rPr>
          <w:rFonts w:ascii="Open Sans" w:eastAsia="Times New Roman" w:hAnsi="Open Sans" w:cs="Open Sans"/>
          <w:b/>
          <w:bCs/>
          <w:color w:val="333333"/>
          <w:kern w:val="0"/>
          <w:sz w:val="20"/>
          <w:szCs w:val="20"/>
          <w:lang w:val="en-US" w:eastAsia="pl-PL"/>
          <w14:ligatures w14:val="none"/>
        </w:rPr>
        <w:t>of the Committee of Ministers to member states</w:t>
      </w:r>
      <w:r>
        <w:rPr>
          <w:rFonts w:ascii="Open Sans" w:eastAsia="Times New Roman" w:hAnsi="Open Sans" w:cs="Open Sans"/>
          <w:b/>
          <w:bCs/>
          <w:color w:val="333333"/>
          <w:kern w:val="0"/>
          <w:sz w:val="20"/>
          <w:szCs w:val="20"/>
          <w:lang w:val="en-US" w:eastAsia="pl-PL"/>
          <w14:ligatures w14:val="none"/>
        </w:rPr>
        <w:t xml:space="preserve"> </w:t>
      </w:r>
      <w:r w:rsidRPr="00C04666">
        <w:rPr>
          <w:rFonts w:ascii="Open Sans" w:eastAsia="Times New Roman" w:hAnsi="Open Sans" w:cs="Open Sans"/>
          <w:b/>
          <w:bCs/>
          <w:color w:val="333333"/>
          <w:kern w:val="0"/>
          <w:sz w:val="20"/>
          <w:szCs w:val="20"/>
          <w:lang w:val="en-US" w:eastAsia="pl-PL"/>
          <w14:ligatures w14:val="none"/>
        </w:rPr>
        <w:t>on developing a methodology for drawing up guidelines</w:t>
      </w:r>
      <w:r>
        <w:rPr>
          <w:rFonts w:ascii="Open Sans" w:eastAsia="Times New Roman" w:hAnsi="Open Sans" w:cs="Open Sans"/>
          <w:b/>
          <w:bCs/>
          <w:color w:val="333333"/>
          <w:kern w:val="0"/>
          <w:sz w:val="20"/>
          <w:szCs w:val="20"/>
          <w:lang w:val="en-US" w:eastAsia="pl-PL"/>
          <w14:ligatures w14:val="none"/>
        </w:rPr>
        <w:t xml:space="preserve"> </w:t>
      </w:r>
      <w:r w:rsidRPr="00C04666">
        <w:rPr>
          <w:rFonts w:ascii="Open Sans" w:eastAsia="Times New Roman" w:hAnsi="Open Sans" w:cs="Open Sans"/>
          <w:b/>
          <w:bCs/>
          <w:color w:val="333333"/>
          <w:kern w:val="0"/>
          <w:sz w:val="20"/>
          <w:szCs w:val="20"/>
          <w:lang w:val="en-US" w:eastAsia="pl-PL"/>
          <w14:ligatures w14:val="none"/>
        </w:rPr>
        <w:t>on best medical practices  </w:t>
      </w:r>
    </w:p>
    <w:p w14:paraId="54BDD99B"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i/>
          <w:iCs/>
          <w:color w:val="333333"/>
          <w:kern w:val="0"/>
          <w:sz w:val="20"/>
          <w:szCs w:val="20"/>
          <w:lang w:val="en-US" w:eastAsia="pl-PL"/>
          <w14:ligatures w14:val="none"/>
        </w:rPr>
        <w:t>(Adopted by the Committee of Ministers on 10 October 2001</w:t>
      </w:r>
      <w:r w:rsidRPr="00C04666">
        <w:rPr>
          <w:rFonts w:ascii="Open Sans" w:eastAsia="Times New Roman" w:hAnsi="Open Sans" w:cs="Open Sans"/>
          <w:i/>
          <w:iCs/>
          <w:color w:val="333333"/>
          <w:kern w:val="0"/>
          <w:sz w:val="20"/>
          <w:szCs w:val="20"/>
          <w:lang w:val="en-US" w:eastAsia="pl-PL"/>
          <w14:ligatures w14:val="none"/>
        </w:rPr>
        <w:br/>
        <w:t>at the 768</w:t>
      </w:r>
      <w:r w:rsidRPr="00C04666">
        <w:rPr>
          <w:rFonts w:ascii="Open Sans" w:eastAsia="Times New Roman" w:hAnsi="Open Sans" w:cs="Open Sans"/>
          <w:i/>
          <w:iCs/>
          <w:color w:val="333333"/>
          <w:kern w:val="0"/>
          <w:sz w:val="15"/>
          <w:szCs w:val="15"/>
          <w:vertAlign w:val="superscript"/>
          <w:lang w:val="en-US" w:eastAsia="pl-PL"/>
          <w14:ligatures w14:val="none"/>
        </w:rPr>
        <w:t>th</w:t>
      </w:r>
      <w:r w:rsidRPr="00C04666">
        <w:rPr>
          <w:rFonts w:ascii="Open Sans" w:eastAsia="Times New Roman" w:hAnsi="Open Sans" w:cs="Open Sans"/>
          <w:i/>
          <w:iCs/>
          <w:color w:val="333333"/>
          <w:kern w:val="0"/>
          <w:sz w:val="20"/>
          <w:szCs w:val="20"/>
          <w:lang w:val="en-US" w:eastAsia="pl-PL"/>
          <w14:ligatures w14:val="none"/>
        </w:rPr>
        <w:t> meeting of the Ministers' Deputies)</w:t>
      </w:r>
    </w:p>
    <w:p w14:paraId="1251E8DA"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i/>
          <w:iCs/>
          <w:color w:val="333333"/>
          <w:kern w:val="0"/>
          <w:sz w:val="20"/>
          <w:szCs w:val="20"/>
          <w:lang w:val="en-US" w:eastAsia="pl-PL"/>
          <w14:ligatures w14:val="none"/>
        </w:rPr>
        <w:t> </w:t>
      </w:r>
    </w:p>
    <w:p w14:paraId="6B5EA8FE"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i/>
          <w:iCs/>
          <w:color w:val="333333"/>
          <w:kern w:val="0"/>
          <w:sz w:val="20"/>
          <w:szCs w:val="20"/>
          <w:lang w:val="en-US" w:eastAsia="pl-PL"/>
          <w14:ligatures w14:val="none"/>
        </w:rPr>
        <w:t> </w:t>
      </w:r>
    </w:p>
    <w:p w14:paraId="29860226"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The Committee of Ministers, under the terms of Article 15.</w:t>
      </w:r>
      <w:r w:rsidRPr="00C04666">
        <w:rPr>
          <w:rFonts w:ascii="Open Sans" w:eastAsia="Times New Roman" w:hAnsi="Open Sans" w:cs="Open Sans"/>
          <w:i/>
          <w:iCs/>
          <w:color w:val="333333"/>
          <w:kern w:val="0"/>
          <w:sz w:val="20"/>
          <w:szCs w:val="20"/>
          <w:lang w:val="en-US" w:eastAsia="pl-PL"/>
          <w14:ligatures w14:val="none"/>
        </w:rPr>
        <w:t>b</w:t>
      </w:r>
      <w:r w:rsidRPr="00C04666">
        <w:rPr>
          <w:rFonts w:ascii="Open Sans" w:eastAsia="Times New Roman" w:hAnsi="Open Sans" w:cs="Open Sans"/>
          <w:color w:val="333333"/>
          <w:kern w:val="0"/>
          <w:sz w:val="20"/>
          <w:szCs w:val="20"/>
          <w:lang w:val="en-US" w:eastAsia="pl-PL"/>
          <w14:ligatures w14:val="none"/>
        </w:rPr>
        <w:t> of the Statute of the Council of Europe, </w:t>
      </w:r>
    </w:p>
    <w:p w14:paraId="150D389C"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Considering that the aim of the Council of Europe is to achieve greater unity between its members and that this aim may be pursued, </w:t>
      </w:r>
      <w:r w:rsidRPr="00C04666">
        <w:rPr>
          <w:rFonts w:ascii="Open Sans" w:eastAsia="Times New Roman" w:hAnsi="Open Sans" w:cs="Open Sans"/>
          <w:i/>
          <w:iCs/>
          <w:color w:val="333333"/>
          <w:kern w:val="0"/>
          <w:sz w:val="20"/>
          <w:szCs w:val="20"/>
          <w:lang w:val="en-US" w:eastAsia="pl-PL"/>
          <w14:ligatures w14:val="none"/>
        </w:rPr>
        <w:t>inter alia</w:t>
      </w:r>
      <w:r w:rsidRPr="00C04666">
        <w:rPr>
          <w:rFonts w:ascii="Open Sans" w:eastAsia="Times New Roman" w:hAnsi="Open Sans" w:cs="Open Sans"/>
          <w:color w:val="333333"/>
          <w:kern w:val="0"/>
          <w:sz w:val="20"/>
          <w:szCs w:val="20"/>
          <w:lang w:val="en-US" w:eastAsia="pl-PL"/>
          <w14:ligatures w14:val="none"/>
        </w:rPr>
        <w:t>, by the adoption of common action in the public health field; </w:t>
      </w:r>
    </w:p>
    <w:p w14:paraId="3741731E"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Bearing in mind the provisions of the Convention for the Protection of Human Rights and Fundamental Freedoms and of the European Social Charter; </w:t>
      </w:r>
    </w:p>
    <w:p w14:paraId="64EA1373"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 xml:space="preserve">Recalling that Article 3 of the Convention on Human Rights and Biomedicine requires that contracting parties provide equitable access to health care of appropriate quality, Article 4 requests that any intervention in the health field, including research, must be carried out in accordance with relevant professional obligations and standards and Article 10 </w:t>
      </w:r>
      <w:proofErr w:type="spellStart"/>
      <w:r w:rsidRPr="00C04666">
        <w:rPr>
          <w:rFonts w:ascii="Open Sans" w:eastAsia="Times New Roman" w:hAnsi="Open Sans" w:cs="Open Sans"/>
          <w:color w:val="333333"/>
          <w:kern w:val="0"/>
          <w:sz w:val="20"/>
          <w:szCs w:val="20"/>
          <w:lang w:val="en-US" w:eastAsia="pl-PL"/>
          <w14:ligatures w14:val="none"/>
        </w:rPr>
        <w:t>emphasises</w:t>
      </w:r>
      <w:proofErr w:type="spellEnd"/>
      <w:r w:rsidRPr="00C04666">
        <w:rPr>
          <w:rFonts w:ascii="Open Sans" w:eastAsia="Times New Roman" w:hAnsi="Open Sans" w:cs="Open Sans"/>
          <w:color w:val="333333"/>
          <w:kern w:val="0"/>
          <w:sz w:val="20"/>
          <w:szCs w:val="20"/>
          <w:lang w:val="en-US" w:eastAsia="pl-PL"/>
          <w14:ligatures w14:val="none"/>
        </w:rPr>
        <w:t xml:space="preserve"> the right of everyone to know any information about his or her health; </w:t>
      </w:r>
    </w:p>
    <w:p w14:paraId="02F8FC8C"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Recalling the recommendations of the Committee of Ministers to member states, No. R (97) 5 on the protection of medical data, No. R (97) 17 on the </w:t>
      </w:r>
      <w:r w:rsidRPr="00C04666">
        <w:rPr>
          <w:rFonts w:ascii="Open Sans" w:eastAsia="Times New Roman" w:hAnsi="Open Sans" w:cs="Open Sans"/>
          <w:color w:val="000000"/>
          <w:kern w:val="0"/>
          <w:sz w:val="20"/>
          <w:szCs w:val="20"/>
          <w:lang w:val="en-US" w:eastAsia="pl-PL"/>
          <w14:ligatures w14:val="none"/>
        </w:rPr>
        <w:t>development and implementation of quality improvement systems in health care, No. R (99) 21 on the criteria for the management of waiting lists and waiting times in health care, as well as No. R (2000) 5 on the development of structures for citizen and patient participation in the decision-making process affecting health care; </w:t>
      </w:r>
      <w:r w:rsidRPr="00C04666">
        <w:rPr>
          <w:rFonts w:ascii="Open Sans" w:eastAsia="Times New Roman" w:hAnsi="Open Sans" w:cs="Open Sans"/>
          <w:b/>
          <w:bCs/>
          <w:color w:val="000000"/>
          <w:kern w:val="0"/>
          <w:sz w:val="20"/>
          <w:szCs w:val="20"/>
          <w:lang w:val="en-US" w:eastAsia="pl-PL"/>
          <w14:ligatures w14:val="none"/>
        </w:rPr>
        <w:t> </w:t>
      </w:r>
    </w:p>
    <w:p w14:paraId="24FD2B34"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proofErr w:type="spellStart"/>
      <w:r w:rsidRPr="00C04666">
        <w:rPr>
          <w:rFonts w:ascii="Open Sans" w:eastAsia="Times New Roman" w:hAnsi="Open Sans" w:cs="Open Sans"/>
          <w:color w:val="333333"/>
          <w:kern w:val="0"/>
          <w:sz w:val="20"/>
          <w:szCs w:val="20"/>
          <w:lang w:val="en-US" w:eastAsia="pl-PL"/>
          <w14:ligatures w14:val="none"/>
        </w:rPr>
        <w:t>Recognising</w:t>
      </w:r>
      <w:proofErr w:type="spellEnd"/>
      <w:r w:rsidRPr="00C04666">
        <w:rPr>
          <w:rFonts w:ascii="Open Sans" w:eastAsia="Times New Roman" w:hAnsi="Open Sans" w:cs="Open Sans"/>
          <w:color w:val="333333"/>
          <w:kern w:val="0"/>
          <w:sz w:val="20"/>
          <w:szCs w:val="20"/>
          <w:lang w:val="en-US" w:eastAsia="pl-PL"/>
          <w14:ligatures w14:val="none"/>
        </w:rPr>
        <w:t xml:space="preserve"> that health policies and health care systems should be based on best available evidence;</w:t>
      </w:r>
      <w:r w:rsidRPr="00C04666">
        <w:rPr>
          <w:rFonts w:ascii="Open Sans" w:eastAsia="Times New Roman" w:hAnsi="Open Sans" w:cs="Open Sans"/>
          <w:color w:val="333333"/>
          <w:spacing w:val="-2"/>
          <w:kern w:val="0"/>
          <w:sz w:val="20"/>
          <w:szCs w:val="20"/>
          <w:lang w:val="en-US" w:eastAsia="pl-PL"/>
          <w14:ligatures w14:val="none"/>
        </w:rPr>
        <w:t> </w:t>
      </w:r>
    </w:p>
    <w:p w14:paraId="1F6F210B"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proofErr w:type="spellStart"/>
      <w:r w:rsidRPr="00C04666">
        <w:rPr>
          <w:rFonts w:ascii="Open Sans" w:eastAsia="Times New Roman" w:hAnsi="Open Sans" w:cs="Open Sans"/>
          <w:color w:val="333333"/>
          <w:kern w:val="0"/>
          <w:sz w:val="20"/>
          <w:szCs w:val="20"/>
          <w:lang w:val="en-US" w:eastAsia="pl-PL"/>
          <w14:ligatures w14:val="none"/>
        </w:rPr>
        <w:t>Recognising</w:t>
      </w:r>
      <w:proofErr w:type="spellEnd"/>
      <w:r w:rsidRPr="00C04666">
        <w:rPr>
          <w:rFonts w:ascii="Open Sans" w:eastAsia="Times New Roman" w:hAnsi="Open Sans" w:cs="Open Sans"/>
          <w:color w:val="333333"/>
          <w:kern w:val="0"/>
          <w:sz w:val="20"/>
          <w:szCs w:val="20"/>
          <w:lang w:val="en-US" w:eastAsia="pl-PL"/>
          <w14:ligatures w14:val="none"/>
        </w:rPr>
        <w:t xml:space="preserve"> that medical evidence incorporated in guidelines may support national decisions on </w:t>
      </w:r>
      <w:proofErr w:type="spellStart"/>
      <w:r w:rsidRPr="00C04666">
        <w:rPr>
          <w:rFonts w:ascii="Open Sans" w:eastAsia="Times New Roman" w:hAnsi="Open Sans" w:cs="Open Sans"/>
          <w:color w:val="333333"/>
          <w:kern w:val="0"/>
          <w:sz w:val="20"/>
          <w:szCs w:val="20"/>
          <w:lang w:val="en-US" w:eastAsia="pl-PL"/>
          <w14:ligatures w14:val="none"/>
        </w:rPr>
        <w:t>prioritisation</w:t>
      </w:r>
      <w:proofErr w:type="spellEnd"/>
      <w:r w:rsidRPr="00C04666">
        <w:rPr>
          <w:rFonts w:ascii="Open Sans" w:eastAsia="Times New Roman" w:hAnsi="Open Sans" w:cs="Open Sans"/>
          <w:color w:val="333333"/>
          <w:kern w:val="0"/>
          <w:sz w:val="20"/>
          <w:szCs w:val="20"/>
          <w:lang w:val="en-US" w:eastAsia="pl-PL"/>
          <w14:ligatures w14:val="none"/>
        </w:rPr>
        <w:t xml:space="preserve"> of health needs based on ethical, social, and financial issues, structural differences of health care systems and variations in epidemiology and health data, but should not be used for purely cost containment or rationing purposes;</w:t>
      </w:r>
    </w:p>
    <w:p w14:paraId="0553617D"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proofErr w:type="spellStart"/>
      <w:r w:rsidRPr="00C04666">
        <w:rPr>
          <w:rFonts w:ascii="Open Sans" w:eastAsia="Times New Roman" w:hAnsi="Open Sans" w:cs="Open Sans"/>
          <w:color w:val="333333"/>
          <w:kern w:val="0"/>
          <w:sz w:val="20"/>
          <w:szCs w:val="20"/>
          <w:lang w:val="en-US" w:eastAsia="pl-PL"/>
          <w14:ligatures w14:val="none"/>
        </w:rPr>
        <w:t>Recognising</w:t>
      </w:r>
      <w:proofErr w:type="spellEnd"/>
      <w:r w:rsidRPr="00C04666">
        <w:rPr>
          <w:rFonts w:ascii="Open Sans" w:eastAsia="Times New Roman" w:hAnsi="Open Sans" w:cs="Open Sans"/>
          <w:color w:val="333333"/>
          <w:kern w:val="0"/>
          <w:sz w:val="20"/>
          <w:szCs w:val="20"/>
          <w:lang w:val="en-US" w:eastAsia="pl-PL"/>
          <w14:ligatures w14:val="none"/>
        </w:rPr>
        <w:t xml:space="preserve"> the right of patients and citizens to be provided with and to have easy access to relevant information about their health and health care in a format and language they can understand; </w:t>
      </w:r>
      <w:r w:rsidRPr="00C04666">
        <w:rPr>
          <w:rFonts w:ascii="Open Sans" w:eastAsia="Times New Roman" w:hAnsi="Open Sans" w:cs="Open Sans"/>
          <w:color w:val="333333"/>
          <w:spacing w:val="-2"/>
          <w:kern w:val="0"/>
          <w:sz w:val="20"/>
          <w:szCs w:val="20"/>
          <w:lang w:val="en-US" w:eastAsia="pl-PL"/>
          <w14:ligatures w14:val="none"/>
        </w:rPr>
        <w:t> </w:t>
      </w:r>
    </w:p>
    <w:p w14:paraId="6ACFBE9E"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spacing w:val="-2"/>
          <w:kern w:val="0"/>
          <w:sz w:val="20"/>
          <w:szCs w:val="20"/>
          <w:lang w:val="en-US" w:eastAsia="pl-PL"/>
          <w14:ligatures w14:val="none"/>
        </w:rPr>
        <w:lastRenderedPageBreak/>
        <w:t>Considering that the same principles of best medical practices apply equally to primary, secondary and tertiary care and to all health professions as well as to health promotion, prevention, diagnosis, treatment, rehabilitation, and other aspects of health care; </w:t>
      </w:r>
    </w:p>
    <w:p w14:paraId="3ED094CE"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proofErr w:type="spellStart"/>
      <w:r w:rsidRPr="00C04666">
        <w:rPr>
          <w:rFonts w:ascii="Open Sans" w:eastAsia="Times New Roman" w:hAnsi="Open Sans" w:cs="Open Sans"/>
          <w:color w:val="333333"/>
          <w:kern w:val="0"/>
          <w:sz w:val="20"/>
          <w:szCs w:val="20"/>
          <w:lang w:val="en-US" w:eastAsia="pl-PL"/>
          <w14:ligatures w14:val="none"/>
        </w:rPr>
        <w:t>Recognising</w:t>
      </w:r>
      <w:proofErr w:type="spellEnd"/>
      <w:r w:rsidRPr="00C04666">
        <w:rPr>
          <w:rFonts w:ascii="Open Sans" w:eastAsia="Times New Roman" w:hAnsi="Open Sans" w:cs="Open Sans"/>
          <w:color w:val="333333"/>
          <w:kern w:val="0"/>
          <w:sz w:val="20"/>
          <w:szCs w:val="20"/>
          <w:lang w:val="en-US" w:eastAsia="pl-PL"/>
          <w14:ligatures w14:val="none"/>
        </w:rPr>
        <w:t xml:space="preserve"> that, in different nations, guidelines on best medical practices are developed in variable ways in a complex environment of health care systems and of ethical, economic, social, legal and other factors; </w:t>
      </w:r>
    </w:p>
    <w:p w14:paraId="62E981C5"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Considering that the </w:t>
      </w:r>
      <w:r w:rsidRPr="00C04666">
        <w:rPr>
          <w:rFonts w:ascii="Open Sans" w:eastAsia="Times New Roman" w:hAnsi="Open Sans" w:cs="Open Sans"/>
          <w:color w:val="333333"/>
          <w:spacing w:val="-3"/>
          <w:kern w:val="0"/>
          <w:sz w:val="20"/>
          <w:szCs w:val="20"/>
          <w:lang w:val="en-US" w:eastAsia="pl-PL"/>
          <w14:ligatures w14:val="none"/>
        </w:rPr>
        <w:t>methodology for the development and implementation of guidelines crosses national boundaries</w:t>
      </w:r>
      <w:r w:rsidRPr="00C04666">
        <w:rPr>
          <w:rFonts w:ascii="Open Sans" w:eastAsia="Times New Roman" w:hAnsi="Open Sans" w:cs="Open Sans"/>
          <w:color w:val="333333"/>
          <w:kern w:val="0"/>
          <w:sz w:val="20"/>
          <w:szCs w:val="20"/>
          <w:lang w:val="en-US" w:eastAsia="pl-PL"/>
          <w14:ligatures w14:val="none"/>
        </w:rPr>
        <w:t> and that the evaluative interpretation of evidence requires substantial resources and expertise and should be shared;  </w:t>
      </w:r>
    </w:p>
    <w:p w14:paraId="332441BA"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proofErr w:type="spellStart"/>
      <w:r w:rsidRPr="00C04666">
        <w:rPr>
          <w:rFonts w:ascii="Open Sans" w:eastAsia="Times New Roman" w:hAnsi="Open Sans" w:cs="Open Sans"/>
          <w:color w:val="333333"/>
          <w:kern w:val="0"/>
          <w:sz w:val="20"/>
          <w:szCs w:val="20"/>
          <w:lang w:val="en-US" w:eastAsia="pl-PL"/>
          <w14:ligatures w14:val="none"/>
        </w:rPr>
        <w:t>Recognising</w:t>
      </w:r>
      <w:proofErr w:type="spellEnd"/>
      <w:r w:rsidRPr="00C04666">
        <w:rPr>
          <w:rFonts w:ascii="Open Sans" w:eastAsia="Times New Roman" w:hAnsi="Open Sans" w:cs="Open Sans"/>
          <w:color w:val="333333"/>
          <w:kern w:val="0"/>
          <w:sz w:val="20"/>
          <w:szCs w:val="20"/>
          <w:lang w:val="en-US" w:eastAsia="pl-PL"/>
          <w14:ligatures w14:val="none"/>
        </w:rPr>
        <w:t xml:space="preserve"> the necessity of promoting </w:t>
      </w:r>
      <w:proofErr w:type="spellStart"/>
      <w:r w:rsidRPr="00C04666">
        <w:rPr>
          <w:rFonts w:ascii="Open Sans" w:eastAsia="Times New Roman" w:hAnsi="Open Sans" w:cs="Open Sans"/>
          <w:color w:val="333333"/>
          <w:kern w:val="0"/>
          <w:sz w:val="20"/>
          <w:szCs w:val="20"/>
          <w:lang w:val="en-US" w:eastAsia="pl-PL"/>
          <w14:ligatures w14:val="none"/>
        </w:rPr>
        <w:t>harmonisation</w:t>
      </w:r>
      <w:proofErr w:type="spellEnd"/>
      <w:r w:rsidRPr="00C04666">
        <w:rPr>
          <w:rFonts w:ascii="Open Sans" w:eastAsia="Times New Roman" w:hAnsi="Open Sans" w:cs="Open Sans"/>
          <w:color w:val="333333"/>
          <w:kern w:val="0"/>
          <w:sz w:val="20"/>
          <w:szCs w:val="20"/>
          <w:lang w:val="en-US" w:eastAsia="pl-PL"/>
          <w14:ligatures w14:val="none"/>
        </w:rPr>
        <w:t xml:space="preserve"> of national and international regulations related to quality research and applied clinical research; </w:t>
      </w:r>
      <w:r w:rsidRPr="00C04666">
        <w:rPr>
          <w:rFonts w:ascii="Open Sans" w:eastAsia="Times New Roman" w:hAnsi="Open Sans" w:cs="Open Sans"/>
          <w:color w:val="333333"/>
          <w:spacing w:val="-3"/>
          <w:kern w:val="0"/>
          <w:sz w:val="20"/>
          <w:szCs w:val="20"/>
          <w:lang w:val="en-US" w:eastAsia="pl-PL"/>
          <w14:ligatures w14:val="none"/>
        </w:rPr>
        <w:t> </w:t>
      </w:r>
    </w:p>
    <w:p w14:paraId="10FA4A46"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proofErr w:type="spellStart"/>
      <w:r w:rsidRPr="00C04666">
        <w:rPr>
          <w:rFonts w:ascii="Open Sans" w:eastAsia="Times New Roman" w:hAnsi="Open Sans" w:cs="Open Sans"/>
          <w:color w:val="333333"/>
          <w:spacing w:val="-3"/>
          <w:kern w:val="0"/>
          <w:sz w:val="20"/>
          <w:szCs w:val="20"/>
          <w:lang w:val="en-US" w:eastAsia="pl-PL"/>
          <w14:ligatures w14:val="none"/>
        </w:rPr>
        <w:t>Recognising</w:t>
      </w:r>
      <w:proofErr w:type="spellEnd"/>
      <w:r w:rsidRPr="00C04666">
        <w:rPr>
          <w:rFonts w:ascii="Open Sans" w:eastAsia="Times New Roman" w:hAnsi="Open Sans" w:cs="Open Sans"/>
          <w:color w:val="333333"/>
          <w:spacing w:val="-3"/>
          <w:kern w:val="0"/>
          <w:sz w:val="20"/>
          <w:szCs w:val="20"/>
          <w:lang w:val="en-US" w:eastAsia="pl-PL"/>
          <w14:ligatures w14:val="none"/>
        </w:rPr>
        <w:t xml:space="preserve"> that guidelines are but one of the tools to improve the quality and appropriateness of health services and therefore should not serve as a substitute for sound clinical judgement nor replace professional responsibility of providers nor patients' preferences; </w:t>
      </w:r>
    </w:p>
    <w:p w14:paraId="6D0020C4"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Considering that the main aim of the guidelines is to support and promote good clinical practice in the best interest of patients and therefore should be used as a policy instrument, whose legal interpretation and status depends on  circumstances pertaining to each country,</w:t>
      </w:r>
      <w:r w:rsidRPr="00C04666">
        <w:rPr>
          <w:rFonts w:ascii="Open Sans" w:eastAsia="Times New Roman" w:hAnsi="Open Sans" w:cs="Open Sans"/>
          <w:color w:val="333333"/>
          <w:spacing w:val="-2"/>
          <w:kern w:val="0"/>
          <w:sz w:val="20"/>
          <w:szCs w:val="20"/>
          <w:lang w:val="en-US" w:eastAsia="pl-PL"/>
          <w14:ligatures w14:val="none"/>
        </w:rPr>
        <w:t> </w:t>
      </w:r>
    </w:p>
    <w:p w14:paraId="38F5E807"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Recommends that the governments of member states: </w:t>
      </w:r>
    </w:p>
    <w:p w14:paraId="4CD332E1"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i.          develop a coherent and comprehensive national policy framework that:</w:t>
      </w:r>
      <w:r w:rsidRPr="00C04666">
        <w:rPr>
          <w:rFonts w:ascii="Open Sans" w:eastAsia="Times New Roman" w:hAnsi="Open Sans" w:cs="Open Sans"/>
          <w:color w:val="333333"/>
          <w:spacing w:val="-2"/>
          <w:kern w:val="0"/>
          <w:sz w:val="20"/>
          <w:szCs w:val="20"/>
          <w:lang w:val="en-US" w:eastAsia="pl-PL"/>
          <w14:ligatures w14:val="none"/>
        </w:rPr>
        <w:t> </w:t>
      </w:r>
    </w:p>
    <w:p w14:paraId="5D53AF83" w14:textId="77777777" w:rsidR="00C04666" w:rsidRPr="00C04666" w:rsidRDefault="00C04666" w:rsidP="00C04666">
      <w:pPr>
        <w:spacing w:before="100" w:beforeAutospacing="1" w:after="100" w:afterAutospacing="1" w:line="240" w:lineRule="auto"/>
        <w:ind w:left="709"/>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spacing w:val="-2"/>
          <w:kern w:val="0"/>
          <w:sz w:val="20"/>
          <w:szCs w:val="20"/>
          <w:lang w:val="en-US" w:eastAsia="pl-PL"/>
          <w14:ligatures w14:val="none"/>
        </w:rPr>
        <w:t>- ensures that the national methods for the production and appraisal of guidelines on best medical practices comply with internationally accepted, current state of the art practices; </w:t>
      </w:r>
    </w:p>
    <w:p w14:paraId="6E812342" w14:textId="77777777" w:rsidR="00C04666" w:rsidRPr="00C04666" w:rsidRDefault="00C04666" w:rsidP="00C04666">
      <w:pPr>
        <w:spacing w:before="100" w:beforeAutospacing="1" w:after="100" w:afterAutospacing="1" w:line="240" w:lineRule="auto"/>
        <w:ind w:left="709"/>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spacing w:val="-2"/>
          <w:kern w:val="0"/>
          <w:sz w:val="20"/>
          <w:szCs w:val="20"/>
          <w:lang w:val="en-US" w:eastAsia="pl-PL"/>
          <w14:ligatures w14:val="none"/>
        </w:rPr>
        <w:t>- ensures that policy makers, health care professionals, citizens and patients appreciate the advantages of using the best available evidence to provide information to support medical decisions; </w:t>
      </w:r>
    </w:p>
    <w:p w14:paraId="6B327FAE" w14:textId="77777777" w:rsidR="00C04666" w:rsidRPr="00C04666" w:rsidRDefault="00C04666" w:rsidP="00C04666">
      <w:pPr>
        <w:spacing w:before="100" w:beforeAutospacing="1" w:after="100" w:afterAutospacing="1" w:line="240" w:lineRule="auto"/>
        <w:ind w:left="709"/>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spacing w:val="-2"/>
          <w:kern w:val="0"/>
          <w:sz w:val="20"/>
          <w:szCs w:val="20"/>
          <w:lang w:val="en-US" w:eastAsia="pl-PL"/>
          <w14:ligatures w14:val="none"/>
        </w:rPr>
        <w:t>- supports the production, use and timely updating of nationally and locally relevant, evidence-based guidelines for clinical practice and medical treatment policies, targeting important issues in health care;</w:t>
      </w:r>
    </w:p>
    <w:p w14:paraId="0B5914D9" w14:textId="77777777" w:rsidR="00C04666" w:rsidRPr="00C04666" w:rsidRDefault="00C04666" w:rsidP="00C04666">
      <w:pPr>
        <w:spacing w:before="100" w:beforeAutospacing="1" w:after="100" w:afterAutospacing="1" w:line="240" w:lineRule="auto"/>
        <w:ind w:left="709"/>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spacing w:val="-2"/>
          <w:kern w:val="0"/>
          <w:sz w:val="20"/>
          <w:szCs w:val="20"/>
          <w:lang w:val="en-US" w:eastAsia="pl-PL"/>
          <w14:ligatures w14:val="none"/>
        </w:rPr>
        <w:t>- ensures that guidelines are produced and implemented in consideration of the legal aspects inherent to the guidelines; </w:t>
      </w:r>
    </w:p>
    <w:p w14:paraId="73818C31" w14:textId="77777777" w:rsidR="00C04666" w:rsidRPr="00C04666" w:rsidRDefault="00C04666" w:rsidP="00C04666">
      <w:pPr>
        <w:spacing w:before="100" w:beforeAutospacing="1" w:after="100" w:afterAutospacing="1" w:line="240" w:lineRule="auto"/>
        <w:ind w:left="709"/>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spacing w:val="-2"/>
          <w:kern w:val="0"/>
          <w:sz w:val="20"/>
          <w:szCs w:val="20"/>
          <w:lang w:val="en-US" w:eastAsia="pl-PL"/>
          <w14:ligatures w14:val="none"/>
        </w:rPr>
        <w:t>- ensures that guidelines are implemented in an appropriate manner, and that their effects on the clinical process and its results, as well as on the legal consequences with regard to the patient and those who provide medical care, are monitored; </w:t>
      </w:r>
    </w:p>
    <w:p w14:paraId="4BEC18F4" w14:textId="77777777" w:rsidR="00C04666" w:rsidRPr="00C04666" w:rsidRDefault="00C04666" w:rsidP="00C04666">
      <w:pPr>
        <w:spacing w:before="100" w:beforeAutospacing="1" w:after="100" w:afterAutospacing="1" w:line="240" w:lineRule="auto"/>
        <w:ind w:left="709"/>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spacing w:val="-2"/>
          <w:kern w:val="0"/>
          <w:sz w:val="20"/>
          <w:szCs w:val="20"/>
          <w:lang w:val="en-US" w:eastAsia="pl-PL"/>
          <w14:ligatures w14:val="none"/>
        </w:rPr>
        <w:t>- facilitates the availability and use of guidelines, as well as the availability of information on their aim, legal status, legal implications, health care literature and databases to citizens, patients and professionals in language they can understand and formats they can use easily; </w:t>
      </w:r>
    </w:p>
    <w:p w14:paraId="3B862ADF"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lastRenderedPageBreak/>
        <w:t xml:space="preserve">ii.            promote international networking between </w:t>
      </w:r>
      <w:proofErr w:type="spellStart"/>
      <w:r w:rsidRPr="00C04666">
        <w:rPr>
          <w:rFonts w:ascii="Open Sans" w:eastAsia="Times New Roman" w:hAnsi="Open Sans" w:cs="Open Sans"/>
          <w:color w:val="333333"/>
          <w:kern w:val="0"/>
          <w:sz w:val="20"/>
          <w:szCs w:val="20"/>
          <w:lang w:val="en-US" w:eastAsia="pl-PL"/>
          <w14:ligatures w14:val="none"/>
        </w:rPr>
        <w:t>organisations</w:t>
      </w:r>
      <w:proofErr w:type="spellEnd"/>
      <w:r w:rsidRPr="00C04666">
        <w:rPr>
          <w:rFonts w:ascii="Open Sans" w:eastAsia="Times New Roman" w:hAnsi="Open Sans" w:cs="Open Sans"/>
          <w:color w:val="333333"/>
          <w:kern w:val="0"/>
          <w:sz w:val="20"/>
          <w:szCs w:val="20"/>
          <w:lang w:val="en-US" w:eastAsia="pl-PL"/>
          <w14:ligatures w14:val="none"/>
        </w:rPr>
        <w:t>, research institutions, clearing houses and other agencies that are producing evidence-based medical information; </w:t>
      </w:r>
      <w:r w:rsidRPr="00C04666">
        <w:rPr>
          <w:rFonts w:ascii="Open Sans" w:eastAsia="Times New Roman" w:hAnsi="Open Sans" w:cs="Open Sans"/>
          <w:color w:val="333333"/>
          <w:spacing w:val="-2"/>
          <w:kern w:val="0"/>
          <w:sz w:val="20"/>
          <w:szCs w:val="20"/>
          <w:lang w:val="en-US" w:eastAsia="pl-PL"/>
          <w14:ligatures w14:val="none"/>
        </w:rPr>
        <w:t> </w:t>
      </w:r>
    </w:p>
    <w:p w14:paraId="25278BDF"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 xml:space="preserve">iii.         support an active, targeted dissemination of these recommendations and the explanatory memorandum, paying special attention to individuals and </w:t>
      </w:r>
      <w:proofErr w:type="spellStart"/>
      <w:r w:rsidRPr="00C04666">
        <w:rPr>
          <w:rFonts w:ascii="Open Sans" w:eastAsia="Times New Roman" w:hAnsi="Open Sans" w:cs="Open Sans"/>
          <w:color w:val="333333"/>
          <w:kern w:val="0"/>
          <w:sz w:val="20"/>
          <w:szCs w:val="20"/>
          <w:lang w:val="en-US" w:eastAsia="pl-PL"/>
          <w14:ligatures w14:val="none"/>
        </w:rPr>
        <w:t>organisations</w:t>
      </w:r>
      <w:proofErr w:type="spellEnd"/>
      <w:r w:rsidRPr="00C04666">
        <w:rPr>
          <w:rFonts w:ascii="Open Sans" w:eastAsia="Times New Roman" w:hAnsi="Open Sans" w:cs="Open Sans"/>
          <w:color w:val="333333"/>
          <w:kern w:val="0"/>
          <w:sz w:val="20"/>
          <w:szCs w:val="20"/>
          <w:lang w:val="en-US" w:eastAsia="pl-PL"/>
          <w14:ligatures w14:val="none"/>
        </w:rPr>
        <w:t xml:space="preserve"> involved in decisions within health care.</w:t>
      </w:r>
    </w:p>
    <w:p w14:paraId="792DC233"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b/>
          <w:bCs/>
          <w:color w:val="333333"/>
          <w:kern w:val="0"/>
          <w:sz w:val="20"/>
          <w:szCs w:val="20"/>
          <w:lang w:val="en-US" w:eastAsia="pl-PL"/>
          <w14:ligatures w14:val="none"/>
        </w:rPr>
        <w:t>Appendix to Recommendation Rec(2001)13</w:t>
      </w:r>
      <w:r w:rsidRPr="00C04666">
        <w:rPr>
          <w:rFonts w:ascii="Open Sans" w:eastAsia="Times New Roman" w:hAnsi="Open Sans" w:cs="Open Sans"/>
          <w:b/>
          <w:bCs/>
          <w:i/>
          <w:iCs/>
          <w:color w:val="333333"/>
          <w:kern w:val="0"/>
          <w:sz w:val="20"/>
          <w:szCs w:val="20"/>
          <w:lang w:val="en-US" w:eastAsia="pl-PL"/>
          <w14:ligatures w14:val="none"/>
        </w:rPr>
        <w:t> </w:t>
      </w:r>
    </w:p>
    <w:p w14:paraId="6B8016B6"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I.            Guidelines in support of health care </w:t>
      </w:r>
    </w:p>
    <w:p w14:paraId="2BF42B72"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The main aim of clinical practice guidelines is to support and promote good clinical practice. </w:t>
      </w:r>
    </w:p>
    <w:p w14:paraId="51337A79"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Guidelines are produced and used in the complex environment of a health care system with its ethical, economic, legal and other aspects; these aspects need to be taken into consideration in each country. </w:t>
      </w:r>
    </w:p>
    <w:p w14:paraId="3EEE476D"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II.         Topic selection </w:t>
      </w:r>
    </w:p>
    <w:p w14:paraId="563707C6"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Guideline topics should be selected for development to support and assist decision- making on important issues in health care.</w:t>
      </w:r>
    </w:p>
    <w:p w14:paraId="18321558"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proofErr w:type="spellStart"/>
      <w:r w:rsidRPr="00C04666">
        <w:rPr>
          <w:rFonts w:ascii="Open Sans" w:eastAsia="Times New Roman" w:hAnsi="Open Sans" w:cs="Open Sans"/>
          <w:color w:val="333333"/>
          <w:kern w:val="0"/>
          <w:sz w:val="20"/>
          <w:szCs w:val="20"/>
          <w:lang w:val="en-US" w:eastAsia="pl-PL"/>
          <w14:ligatures w14:val="none"/>
        </w:rPr>
        <w:t>Prioritisation</w:t>
      </w:r>
      <w:proofErr w:type="spellEnd"/>
      <w:r w:rsidRPr="00C04666">
        <w:rPr>
          <w:rFonts w:ascii="Open Sans" w:eastAsia="Times New Roman" w:hAnsi="Open Sans" w:cs="Open Sans"/>
          <w:color w:val="333333"/>
          <w:kern w:val="0"/>
          <w:sz w:val="20"/>
          <w:szCs w:val="20"/>
          <w:lang w:val="en-US" w:eastAsia="pl-PL"/>
          <w14:ligatures w14:val="none"/>
        </w:rPr>
        <w:t xml:space="preserve"> of guideline topics may be based on the epidemiology of health problems, health inequalities, variations in the provision and quality of care, emergence of new technologies, or other factors that create a need for high quality, updated information.</w:t>
      </w:r>
      <w:r w:rsidRPr="00C04666">
        <w:rPr>
          <w:rFonts w:ascii="Open Sans" w:eastAsia="Times New Roman" w:hAnsi="Open Sans" w:cs="Open Sans"/>
          <w:b/>
          <w:bCs/>
          <w:color w:val="333333"/>
          <w:kern w:val="0"/>
          <w:sz w:val="20"/>
          <w:szCs w:val="20"/>
          <w:lang w:val="en-US" w:eastAsia="pl-PL"/>
          <w14:ligatures w14:val="none"/>
        </w:rPr>
        <w:t> </w:t>
      </w:r>
    </w:p>
    <w:p w14:paraId="54697F59"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 xml:space="preserve">The existence of presently available evidence-based guidelines should be considered in the </w:t>
      </w:r>
      <w:proofErr w:type="spellStart"/>
      <w:r w:rsidRPr="00C04666">
        <w:rPr>
          <w:rFonts w:ascii="Open Sans" w:eastAsia="Times New Roman" w:hAnsi="Open Sans" w:cs="Open Sans"/>
          <w:color w:val="333333"/>
          <w:kern w:val="0"/>
          <w:sz w:val="20"/>
          <w:szCs w:val="20"/>
          <w:lang w:val="en-US" w:eastAsia="pl-PL"/>
          <w14:ligatures w14:val="none"/>
        </w:rPr>
        <w:t>prioritisation</w:t>
      </w:r>
      <w:proofErr w:type="spellEnd"/>
      <w:r w:rsidRPr="00C04666">
        <w:rPr>
          <w:rFonts w:ascii="Open Sans" w:eastAsia="Times New Roman" w:hAnsi="Open Sans" w:cs="Open Sans"/>
          <w:color w:val="333333"/>
          <w:kern w:val="0"/>
          <w:sz w:val="20"/>
          <w:szCs w:val="20"/>
          <w:lang w:val="en-US" w:eastAsia="pl-PL"/>
          <w14:ligatures w14:val="none"/>
        </w:rPr>
        <w:t xml:space="preserve"> of topics for development.</w:t>
      </w:r>
    </w:p>
    <w:p w14:paraId="6E4763E1"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III.            Guidelines development </w:t>
      </w:r>
    </w:p>
    <w:p w14:paraId="43CF93D1"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Guidelines should be produced by multiprofessional groups in a systematic, independent and transparent fashion, using appropriate quality criteria. </w:t>
      </w:r>
    </w:p>
    <w:p w14:paraId="0D66941E"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End user involvement through a wide review and/or testing of the pilot version is necessary before adopting a guideline for implementation. </w:t>
      </w:r>
    </w:p>
    <w:p w14:paraId="334CF88C"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If guidelines are adapted from other countries or areas, they must be re-edited and reviewed or tested for applicability in the new environment. </w:t>
      </w:r>
    </w:p>
    <w:p w14:paraId="2AE7EECC"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IV.            Dissemination of guidelines </w:t>
      </w:r>
    </w:p>
    <w:p w14:paraId="1EC0DD15"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The funding for guideline dissemination, implementation, evaluation, and updating must be carefully considered at the same time as the decision is made to develop the guideline. Funding support may vary. The source of support must be transparent. </w:t>
      </w:r>
    </w:p>
    <w:p w14:paraId="67EE215A"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Guidelines should target multiple audiences (professionals, patients, and policy makers) and be available in suitable formats for these different groups. </w:t>
      </w:r>
    </w:p>
    <w:p w14:paraId="358278C6"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Guideline dissemination should be planned, active, sustainable, and ensure high accessibility. </w:t>
      </w:r>
    </w:p>
    <w:p w14:paraId="6960202A"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lastRenderedPageBreak/>
        <w:t xml:space="preserve">Guideline clearinghouses or guideline production </w:t>
      </w:r>
      <w:proofErr w:type="spellStart"/>
      <w:r w:rsidRPr="00C04666">
        <w:rPr>
          <w:rFonts w:ascii="Open Sans" w:eastAsia="Times New Roman" w:hAnsi="Open Sans" w:cs="Open Sans"/>
          <w:color w:val="333333"/>
          <w:kern w:val="0"/>
          <w:sz w:val="20"/>
          <w:szCs w:val="20"/>
          <w:lang w:val="en-US" w:eastAsia="pl-PL"/>
          <w14:ligatures w14:val="none"/>
        </w:rPr>
        <w:t>programmes</w:t>
      </w:r>
      <w:proofErr w:type="spellEnd"/>
      <w:r w:rsidRPr="00C04666">
        <w:rPr>
          <w:rFonts w:ascii="Open Sans" w:eastAsia="Times New Roman" w:hAnsi="Open Sans" w:cs="Open Sans"/>
          <w:color w:val="333333"/>
          <w:kern w:val="0"/>
          <w:sz w:val="20"/>
          <w:szCs w:val="20"/>
          <w:lang w:val="en-US" w:eastAsia="pl-PL"/>
          <w14:ligatures w14:val="none"/>
        </w:rPr>
        <w:t xml:space="preserve"> facilitate the accessibility of multiple guidelines on similar problems and may increase guideline quality. </w:t>
      </w:r>
    </w:p>
    <w:p w14:paraId="27BEDC1A"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V.            Guideline implementation </w:t>
      </w:r>
    </w:p>
    <w:p w14:paraId="600E9A0D"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For the most effective implementation of guidelines, a systematic approach to managing the quality of health care and determining those responsible is essential. </w:t>
      </w:r>
    </w:p>
    <w:p w14:paraId="2B38BEF0"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Various guideline dissemination and implementation strategies should be used in combinations to ensure maximum effect. </w:t>
      </w:r>
    </w:p>
    <w:p w14:paraId="3B01CB57"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 xml:space="preserve">Professional, </w:t>
      </w:r>
      <w:proofErr w:type="spellStart"/>
      <w:r w:rsidRPr="00C04666">
        <w:rPr>
          <w:rFonts w:ascii="Open Sans" w:eastAsia="Times New Roman" w:hAnsi="Open Sans" w:cs="Open Sans"/>
          <w:color w:val="333333"/>
          <w:kern w:val="0"/>
          <w:sz w:val="20"/>
          <w:szCs w:val="20"/>
          <w:lang w:val="en-US" w:eastAsia="pl-PL"/>
          <w14:ligatures w14:val="none"/>
        </w:rPr>
        <w:t>organisational</w:t>
      </w:r>
      <w:proofErr w:type="spellEnd"/>
      <w:r w:rsidRPr="00C04666">
        <w:rPr>
          <w:rFonts w:ascii="Open Sans" w:eastAsia="Times New Roman" w:hAnsi="Open Sans" w:cs="Open Sans"/>
          <w:color w:val="333333"/>
          <w:kern w:val="0"/>
          <w:sz w:val="20"/>
          <w:szCs w:val="20"/>
          <w:lang w:val="en-US" w:eastAsia="pl-PL"/>
          <w14:ligatures w14:val="none"/>
        </w:rPr>
        <w:t>, financial, and regulatory incentives and disincentives need to be considered together with other barriers and facilitators of guideline use at both national and local levels (tailored implementation). </w:t>
      </w:r>
    </w:p>
    <w:p w14:paraId="4EE28D64"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In implementing guidelines, the best interest of the patient should be served and professional responsibility and patients' rights should be respected. </w:t>
      </w:r>
    </w:p>
    <w:p w14:paraId="6457056D"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Guidelines must become an essential element in the undergraduate and clinical training of health care professionals as well as in the continuing professional development of health care teams.</w:t>
      </w:r>
    </w:p>
    <w:p w14:paraId="7978071A"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VI.            Evaluation of guidelines and of their impact </w:t>
      </w:r>
    </w:p>
    <w:p w14:paraId="0CB56EDA"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Tools for evaluating the quality of existing guidelines should be used to decide which guidelines should be implemented. </w:t>
      </w:r>
    </w:p>
    <w:p w14:paraId="276A6528"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Well-planned monitoring of guideline effects is essential, and especially the impact of guidelines on health outcomes needs further development and evaluation. </w:t>
      </w:r>
    </w:p>
    <w:p w14:paraId="37B77FB5"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Guidelines can include a list of essential indicators that can be used for evaluating the results of guideline implementation. </w:t>
      </w:r>
    </w:p>
    <w:p w14:paraId="15AB03DF"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 xml:space="preserve">An internationally </w:t>
      </w:r>
      <w:proofErr w:type="spellStart"/>
      <w:r w:rsidRPr="00C04666">
        <w:rPr>
          <w:rFonts w:ascii="Open Sans" w:eastAsia="Times New Roman" w:hAnsi="Open Sans" w:cs="Open Sans"/>
          <w:color w:val="333333"/>
          <w:kern w:val="0"/>
          <w:sz w:val="20"/>
          <w:szCs w:val="20"/>
          <w:lang w:val="en-US" w:eastAsia="pl-PL"/>
          <w14:ligatures w14:val="none"/>
        </w:rPr>
        <w:t>co-ordinated</w:t>
      </w:r>
      <w:proofErr w:type="spellEnd"/>
      <w:r w:rsidRPr="00C04666">
        <w:rPr>
          <w:rFonts w:ascii="Open Sans" w:eastAsia="Times New Roman" w:hAnsi="Open Sans" w:cs="Open Sans"/>
          <w:color w:val="333333"/>
          <w:kern w:val="0"/>
          <w:sz w:val="20"/>
          <w:szCs w:val="20"/>
          <w:lang w:val="en-US" w:eastAsia="pl-PL"/>
          <w14:ligatures w14:val="none"/>
        </w:rPr>
        <w:t xml:space="preserve"> research network should study the methodology of guidelines evaluation and impact monitoring, including the impact of guidelines on learning process and medical knowledge of professionals. </w:t>
      </w:r>
    </w:p>
    <w:p w14:paraId="5CC02F91"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VII.            Updating </w:t>
      </w:r>
    </w:p>
    <w:p w14:paraId="53EDB84C" w14:textId="77777777" w:rsidR="00C04666" w:rsidRPr="00C04666" w:rsidRDefault="00C04666" w:rsidP="00C04666">
      <w:pPr>
        <w:spacing w:before="100" w:beforeAutospacing="1" w:after="100" w:afterAutospacing="1" w:line="240" w:lineRule="auto"/>
        <w:rPr>
          <w:rFonts w:ascii="Open Sans" w:eastAsia="Times New Roman" w:hAnsi="Open Sans" w:cs="Open Sans"/>
          <w:color w:val="333333"/>
          <w:kern w:val="0"/>
          <w:sz w:val="20"/>
          <w:szCs w:val="20"/>
          <w:lang w:val="en-US" w:eastAsia="pl-PL"/>
          <w14:ligatures w14:val="none"/>
        </w:rPr>
      </w:pPr>
      <w:r w:rsidRPr="00C04666">
        <w:rPr>
          <w:rFonts w:ascii="Open Sans" w:eastAsia="Times New Roman" w:hAnsi="Open Sans" w:cs="Open Sans"/>
          <w:color w:val="333333"/>
          <w:kern w:val="0"/>
          <w:sz w:val="20"/>
          <w:szCs w:val="20"/>
          <w:lang w:val="en-US" w:eastAsia="pl-PL"/>
          <w14:ligatures w14:val="none"/>
        </w:rPr>
        <w:t>The guideline production process must include clear policies and responsibilities on guideline updating.</w:t>
      </w:r>
    </w:p>
    <w:p w14:paraId="64AC28D1" w14:textId="3D322F06" w:rsidR="00B86972" w:rsidRPr="00C04666" w:rsidRDefault="00C04666" w:rsidP="00C04666">
      <w:pPr>
        <w:rPr>
          <w:lang w:val="en-US"/>
        </w:rPr>
      </w:pPr>
      <w:r w:rsidRPr="00C04666">
        <w:rPr>
          <w:rFonts w:ascii="Open Sans" w:eastAsia="Times New Roman" w:hAnsi="Open Sans" w:cs="Open Sans"/>
          <w:color w:val="333333"/>
          <w:kern w:val="0"/>
          <w:sz w:val="20"/>
          <w:szCs w:val="20"/>
          <w:lang w:val="en-US" w:eastAsia="pl-PL"/>
          <w14:ligatures w14:val="none"/>
        </w:rPr>
        <w:t> </w:t>
      </w:r>
    </w:p>
    <w:sectPr w:rsidR="00B86972" w:rsidRPr="00C04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w:panose1 w:val="02020603050405020304"/>
    <w:charset w:val="00"/>
    <w:family w:val="roman"/>
    <w:notTrueType/>
    <w:pitch w:val="default"/>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17"/>
    <w:rsid w:val="00046119"/>
    <w:rsid w:val="001A3155"/>
    <w:rsid w:val="002E1F17"/>
    <w:rsid w:val="003607B3"/>
    <w:rsid w:val="005A1555"/>
    <w:rsid w:val="00863225"/>
    <w:rsid w:val="008C6EFD"/>
    <w:rsid w:val="00951332"/>
    <w:rsid w:val="00973191"/>
    <w:rsid w:val="009A254A"/>
    <w:rsid w:val="00AA4A1D"/>
    <w:rsid w:val="00B24D98"/>
    <w:rsid w:val="00B838BA"/>
    <w:rsid w:val="00B86972"/>
    <w:rsid w:val="00BB04C4"/>
    <w:rsid w:val="00C04666"/>
    <w:rsid w:val="00CF6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315B"/>
  <w15:chartTrackingRefBased/>
  <w15:docId w15:val="{2BC931EB-5527-406D-8782-C6DFF1D6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E1F1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2E1F1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2E1F17"/>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2E1F17"/>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2E1F17"/>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2E1F17"/>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2E1F17"/>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2E1F17"/>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2E1F17"/>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E1F17"/>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2E1F17"/>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2E1F17"/>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2E1F17"/>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2E1F17"/>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2E1F17"/>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2E1F17"/>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2E1F17"/>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2E1F17"/>
    <w:rPr>
      <w:rFonts w:eastAsiaTheme="majorEastAsia" w:cstheme="majorBidi"/>
      <w:color w:val="272727" w:themeColor="text1" w:themeTint="D8"/>
    </w:rPr>
  </w:style>
  <w:style w:type="paragraph" w:styleId="Tytu">
    <w:name w:val="Title"/>
    <w:basedOn w:val="Normalny"/>
    <w:next w:val="Normalny"/>
    <w:link w:val="TytuZnak"/>
    <w:uiPriority w:val="10"/>
    <w:qFormat/>
    <w:rsid w:val="002E1F1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E1F17"/>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2E1F17"/>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2E1F17"/>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2E1F17"/>
    <w:pPr>
      <w:spacing w:before="160"/>
      <w:jc w:val="center"/>
    </w:pPr>
    <w:rPr>
      <w:i/>
      <w:iCs/>
      <w:color w:val="404040" w:themeColor="text1" w:themeTint="BF"/>
    </w:rPr>
  </w:style>
  <w:style w:type="character" w:customStyle="1" w:styleId="CytatZnak">
    <w:name w:val="Cytat Znak"/>
    <w:basedOn w:val="Domylnaczcionkaakapitu"/>
    <w:link w:val="Cytat"/>
    <w:uiPriority w:val="29"/>
    <w:rsid w:val="002E1F17"/>
    <w:rPr>
      <w:i/>
      <w:iCs/>
      <w:color w:val="404040" w:themeColor="text1" w:themeTint="BF"/>
    </w:rPr>
  </w:style>
  <w:style w:type="paragraph" w:styleId="Akapitzlist">
    <w:name w:val="List Paragraph"/>
    <w:basedOn w:val="Normalny"/>
    <w:uiPriority w:val="34"/>
    <w:qFormat/>
    <w:rsid w:val="002E1F17"/>
    <w:pPr>
      <w:ind w:left="720"/>
      <w:contextualSpacing/>
    </w:pPr>
  </w:style>
  <w:style w:type="character" w:styleId="Wyrnienieintensywne">
    <w:name w:val="Intense Emphasis"/>
    <w:basedOn w:val="Domylnaczcionkaakapitu"/>
    <w:uiPriority w:val="21"/>
    <w:qFormat/>
    <w:rsid w:val="002E1F17"/>
    <w:rPr>
      <w:i/>
      <w:iCs/>
      <w:color w:val="0F4761" w:themeColor="accent1" w:themeShade="BF"/>
    </w:rPr>
  </w:style>
  <w:style w:type="paragraph" w:styleId="Cytatintensywny">
    <w:name w:val="Intense Quote"/>
    <w:basedOn w:val="Normalny"/>
    <w:next w:val="Normalny"/>
    <w:link w:val="CytatintensywnyZnak"/>
    <w:uiPriority w:val="30"/>
    <w:qFormat/>
    <w:rsid w:val="002E1F1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2E1F17"/>
    <w:rPr>
      <w:i/>
      <w:iCs/>
      <w:color w:val="0F4761" w:themeColor="accent1" w:themeShade="BF"/>
    </w:rPr>
  </w:style>
  <w:style w:type="character" w:styleId="Odwoanieintensywne">
    <w:name w:val="Intense Reference"/>
    <w:basedOn w:val="Domylnaczcionkaakapitu"/>
    <w:uiPriority w:val="32"/>
    <w:qFormat/>
    <w:rsid w:val="002E1F17"/>
    <w:rPr>
      <w:b/>
      <w:bCs/>
      <w:smallCaps/>
      <w:color w:val="0F4761" w:themeColor="accent1" w:themeShade="BF"/>
      <w:spacing w:val="5"/>
    </w:rPr>
  </w:style>
  <w:style w:type="paragraph" w:styleId="NormalnyWeb">
    <w:name w:val="Normal (Web)"/>
    <w:basedOn w:val="Normalny"/>
    <w:uiPriority w:val="99"/>
    <w:semiHidden/>
    <w:unhideWhenUsed/>
    <w:rsid w:val="00C04666"/>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Hipercze">
    <w:name w:val="Hyperlink"/>
    <w:basedOn w:val="Domylnaczcionkaakapitu"/>
    <w:uiPriority w:val="99"/>
    <w:semiHidden/>
    <w:unhideWhenUsed/>
    <w:rsid w:val="00C04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8074">
      <w:bodyDiv w:val="1"/>
      <w:marLeft w:val="0"/>
      <w:marRight w:val="0"/>
      <w:marTop w:val="0"/>
      <w:marBottom w:val="0"/>
      <w:divBdr>
        <w:top w:val="none" w:sz="0" w:space="0" w:color="auto"/>
        <w:left w:val="none" w:sz="0" w:space="0" w:color="auto"/>
        <w:bottom w:val="none" w:sz="0" w:space="0" w:color="auto"/>
        <w:right w:val="none" w:sz="0" w:space="0" w:color="auto"/>
      </w:divBdr>
    </w:div>
    <w:div w:id="55346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1340</Words>
  <Characters>8043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Lipski</dc:creator>
  <cp:keywords/>
  <dc:description/>
  <cp:lastModifiedBy>Jan Lipski</cp:lastModifiedBy>
  <cp:revision>3</cp:revision>
  <dcterms:created xsi:type="dcterms:W3CDTF">2024-02-09T17:46:00Z</dcterms:created>
  <dcterms:modified xsi:type="dcterms:W3CDTF">2024-03-07T17:22:00Z</dcterms:modified>
</cp:coreProperties>
</file>