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1E45" w14:textId="698D225D" w:rsidR="00961139" w:rsidRDefault="00961139" w:rsidP="6D0DBEA5">
      <w:pPr>
        <w:ind w:left="34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Paweł Księżak</w:t>
      </w:r>
    </w:p>
    <w:p w14:paraId="59D5A0C7" w14:textId="666C4723" w:rsidR="6D0DBEA5" w:rsidRDefault="6D0DBEA5" w:rsidP="00961139">
      <w:pPr>
        <w:ind w:left="3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5DC">
        <w:rPr>
          <w:rFonts w:ascii="Times New Roman" w:hAnsi="Times New Roman" w:cs="Times New Roman"/>
          <w:b/>
          <w:bCs/>
          <w:sz w:val="24"/>
          <w:szCs w:val="24"/>
        </w:rPr>
        <w:t>Zasady deontologii a wolność słowa</w:t>
      </w:r>
    </w:p>
    <w:p w14:paraId="62F2057F" w14:textId="7250643B" w:rsidR="00961139" w:rsidRDefault="00961139" w:rsidP="00961139">
      <w:pPr>
        <w:ind w:left="3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Konspekt wystąpienia na seminarium 29 marca 2023 r.</w:t>
      </w:r>
    </w:p>
    <w:p w14:paraId="112213BD" w14:textId="7C452883" w:rsidR="00961139" w:rsidRDefault="00961139" w:rsidP="00961139">
      <w:pPr>
        <w:ind w:left="3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NCN </w:t>
      </w:r>
      <w:r w:rsidRPr="00961139">
        <w:rPr>
          <w:rFonts w:ascii="Times New Roman" w:hAnsi="Times New Roman" w:cs="Times New Roman"/>
          <w:b/>
          <w:bCs/>
          <w:sz w:val="24"/>
          <w:szCs w:val="24"/>
        </w:rPr>
        <w:t>2021/41/B/HS5/04277</w:t>
      </w:r>
    </w:p>
    <w:p w14:paraId="5B79FF9F" w14:textId="77777777" w:rsidR="00961139" w:rsidRDefault="00961139" w:rsidP="6D0DBEA5">
      <w:pPr>
        <w:ind w:left="349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8075" w14:textId="1F780DDA" w:rsidR="00513FB3" w:rsidRPr="00CB25DC" w:rsidRDefault="6D0DBEA5" w:rsidP="00EF3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Wprowadzenie</w:t>
      </w:r>
    </w:p>
    <w:p w14:paraId="138A3280" w14:textId="4F74D26B" w:rsidR="00EF3BB3" w:rsidRPr="00CB25DC" w:rsidRDefault="6D0DBEA5" w:rsidP="00EF3BB3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 xml:space="preserve">- badanie, czy a jeśli tak to w jakim zakresie normy deontologiczne mogą ograniczać wolność słowa </w:t>
      </w:r>
    </w:p>
    <w:p w14:paraId="47875A77" w14:textId="650E12E4" w:rsidR="00EF3BB3" w:rsidRPr="00CB25DC" w:rsidRDefault="6D0DBEA5" w:rsidP="00EF3BB3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przedmiotem rozważań będą aspekty cywilnoprawne jedynie na marginesie wzmiankowane będą oceny z punktu widzenia postępowań dyscyplinarnych i karnych</w:t>
      </w:r>
    </w:p>
    <w:p w14:paraId="5E131770" w14:textId="70511A92" w:rsidR="00EF3BB3" w:rsidRPr="00CB25DC" w:rsidRDefault="00EF3BB3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2. Dwie płaszczyzny analizy:</w:t>
      </w:r>
    </w:p>
    <w:p w14:paraId="7275520A" w14:textId="1D84D85F" w:rsidR="00EF3BB3" w:rsidRPr="00CB25DC" w:rsidRDefault="00EF3BB3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wolność słowa w odniesieniu do krytyki innych członków samorządu</w:t>
      </w:r>
    </w:p>
    <w:p w14:paraId="0C6D7DDF" w14:textId="647CD2FD" w:rsidR="00EF3BB3" w:rsidRPr="00CB25DC" w:rsidRDefault="00EF3BB3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wolność słowa w zakresie przedstawiania własnych poglądów na kwestie mające znaczenie dla samorządu</w:t>
      </w:r>
    </w:p>
    <w:p w14:paraId="7391F13B" w14:textId="5E28D592" w:rsidR="00EF3BB3" w:rsidRPr="00CB25DC" w:rsidRDefault="6D0DBEA5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3. Krytyka członków samorządu jako działanie bezprawne</w:t>
      </w:r>
    </w:p>
    <w:p w14:paraId="6B8A6ACC" w14:textId="5507EBB4" w:rsidR="6D0DBEA5" w:rsidRPr="00CB25DC" w:rsidRDefault="6D0DBEA5" w:rsidP="6D0DBEA5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Teza: Normy deontologiczne co do zasady ograniczają wolność krytyki w ramach samorządu</w:t>
      </w:r>
    </w:p>
    <w:p w14:paraId="58EAEA2E" w14:textId="37E8EE0A" w:rsidR="00EF3BB3" w:rsidRPr="00CB25DC" w:rsidRDefault="6D0DBEA5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przykłady norm deontologicznych</w:t>
      </w:r>
    </w:p>
    <w:p w14:paraId="1CFDD7AA" w14:textId="0F7CC5D5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Art. 52. Kodeks Etyki Lekarskiej </w:t>
      </w:r>
    </w:p>
    <w:p w14:paraId="039E7010" w14:textId="18923C32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1. Lekarze powinni okazywać sobie wzajemny szacunek. Szczególny szacunek i względy należą się lekarzom seniorom, a zwłaszcza byłym nauczycielom. </w:t>
      </w:r>
    </w:p>
    <w:p w14:paraId="399903DC" w14:textId="18897F5A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2. Lekarz powinien zachować szczególną ostrożność w formułowaniu opinii o działalności zawodowej innego lekarza, w szczególności nie powinien publicznie dyskredytować go w jakikolwiek sposób. </w:t>
      </w:r>
    </w:p>
    <w:p w14:paraId="24F9A064" w14:textId="4B0EC670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3. Lekarz wszelkie uwagi o dostrzeżonych błędach w postępowaniu innego lekarza powinien przekazać przede wszystkim temu lekarzowi. Jeżeli interwencja okaże się nieskuteczna albo dostrzeżony błąd lub naruszenie zasad etyki powoduje poważną szkodę, konieczne jest poinformowanie organu izby lekarskiej </w:t>
      </w:r>
    </w:p>
    <w:p w14:paraId="73D2C829" w14:textId="0B6D3A76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4. Poinformowanie organu izby lekarskiej o zauważonym naruszeniu zasad etycznych i niekompetencji zawodowej innego lekarza nie stanowi naruszenia zasad etyki. </w:t>
      </w:r>
    </w:p>
    <w:p w14:paraId="204F5E13" w14:textId="42118275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>5. Jeżeli dostrzeżony błąd, popełniony przez innego lekarza, ma niekorzystny wpływ na stan zdrowia pacjenta należy podjąć działania dla odwrócenia jego skutków.</w:t>
      </w:r>
    </w:p>
    <w:p w14:paraId="5191472E" w14:textId="0D457401" w:rsidR="6D0DBEA5" w:rsidRPr="00CB25DC" w:rsidRDefault="6D0DBEA5" w:rsidP="6D0DBEA5">
      <w:pPr>
        <w:rPr>
          <w:rFonts w:ascii="Times New Roman" w:eastAsia="Calibri" w:hAnsi="Times New Roman" w:cs="Times New Roman"/>
          <w:sz w:val="24"/>
          <w:szCs w:val="24"/>
        </w:rPr>
      </w:pPr>
    </w:p>
    <w:p w14:paraId="1500AAAE" w14:textId="366CAC3D" w:rsidR="6D0DBEA5" w:rsidRPr="00CB25DC" w:rsidRDefault="6D0DBEA5" w:rsidP="00CB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lastRenderedPageBreak/>
        <w:t>Art. 52 Kodeks etyki radcy prawnego</w:t>
      </w:r>
    </w:p>
    <w:p w14:paraId="39129A85" w14:textId="79BCFD5D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 1. Radca prawny może zwracać uwagę członkowi samorządu postępującemu niezgodnie z zasadami etyki zawodowej.</w:t>
      </w:r>
    </w:p>
    <w:p w14:paraId="451C31FF" w14:textId="5ECA7853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 2. Radca prawny może złożyć związane z wykonywaniem zawodu zawiadomienie dotyczące innego radcy prawnego wyłącznie do właściwego organu samorządu. </w:t>
      </w:r>
    </w:p>
    <w:p w14:paraId="32525607" w14:textId="3E1A1465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 xml:space="preserve">3. Radca prawny obowiązany jest zachować wzgląd na interes publiczny i godność zawodu przy wyrażaniu wobec osób trzecich negatywnych wypowiedzi lub opinii o wykonywaniu zawodu przez innego radcę prawnego. </w:t>
      </w:r>
    </w:p>
    <w:p w14:paraId="67C21510" w14:textId="67D1EB29" w:rsidR="6D0DBEA5" w:rsidRPr="00CB25DC" w:rsidRDefault="6D0DBEA5" w:rsidP="00CB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Calibri" w:hAnsi="Times New Roman" w:cs="Times New Roman"/>
          <w:sz w:val="24"/>
          <w:szCs w:val="24"/>
        </w:rPr>
        <w:t>4. Radca prawny wypowiadający się o innym radcy prawnym lub wydający opinię o wykonywaniu zawodu przez innego radcę prawnego obowiązany jest wysłuchać w miarę możliwości zainteresowanego oraz zachować obiektywizm i rzeczowość.</w:t>
      </w:r>
    </w:p>
    <w:p w14:paraId="231FBC0E" w14:textId="3F3A2175" w:rsidR="6D0DBEA5" w:rsidRPr="00CB25DC" w:rsidRDefault="6D0DBEA5" w:rsidP="6D0DBEA5">
      <w:pPr>
        <w:rPr>
          <w:rFonts w:ascii="Times New Roman" w:eastAsia="Calibri" w:hAnsi="Times New Roman" w:cs="Times New Roman"/>
          <w:sz w:val="24"/>
          <w:szCs w:val="24"/>
        </w:rPr>
      </w:pPr>
    </w:p>
    <w:p w14:paraId="5D782878" w14:textId="3D7FF5AC" w:rsidR="00EF3BB3" w:rsidRPr="00CB25DC" w:rsidRDefault="6D0DBEA5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wyrok TK z 23.4.2008 r., SK 16/07</w:t>
      </w:r>
    </w:p>
    <w:p w14:paraId="6BFBB885" w14:textId="05B530AE" w:rsidR="00EF3BB3" w:rsidRPr="00CB25DC" w:rsidRDefault="6D0DBEA5" w:rsidP="00961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Art. 52 ust. 2 kodeksu etyki lekarskiej w związku z </w:t>
      </w:r>
      <w:hyperlink r:id="rId5" w:anchor="/document/16793122?unitId=art(15)pkt(1)&amp;cm=DOCUMENT">
        <w:r w:rsidRPr="00CB25DC">
          <w:rPr>
            <w:rStyle w:val="Hipercze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art. 15 pkt 1</w:t>
        </w:r>
      </w:hyperlink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, </w:t>
      </w:r>
      <w:hyperlink r:id="rId6" w:anchor="/document/16793122?unitId=art(41)&amp;cm=DOCUMENT">
        <w:r w:rsidRPr="00CB25DC">
          <w:rPr>
            <w:rStyle w:val="Hipercze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art. 41</w:t>
        </w:r>
      </w:hyperlink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 i </w:t>
      </w:r>
      <w:hyperlink r:id="rId7" w:anchor="/document/16793122?unitId=art(42)ust(1)&amp;cm=DOCUMENT">
        <w:r w:rsidRPr="00CB25DC">
          <w:rPr>
            <w:rStyle w:val="Hipercze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art. 42 ust. 1</w:t>
        </w:r>
      </w:hyperlink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 ustawy z dnia 17 maja 1989 r. o izbach lekarskich w zakresie, w jakim zakazuje zgodnych z prawdą i uzasadnionych ochroną interesu publicznego wypowiedzi publicznych na temat działalności zawodowej innego lekarza, jest niezgodny z </w:t>
      </w:r>
      <w:hyperlink r:id="rId8" w:anchor="/document/16798613?unitId=art(54)ust(1)&amp;cm=DOCUMENT">
        <w:r w:rsidRPr="00CB25DC">
          <w:rPr>
            <w:rStyle w:val="Hipercze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art. 54 ust. 1</w:t>
        </w:r>
      </w:hyperlink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 w związku z </w:t>
      </w:r>
      <w:hyperlink r:id="rId9" w:anchor="/document/16798613?unitId=art(31)ust(3)&amp;cm=DOCUMENT">
        <w:r w:rsidRPr="00CB25DC">
          <w:rPr>
            <w:rStyle w:val="Hipercze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art. 31 ust. 3</w:t>
        </w:r>
      </w:hyperlink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 i </w:t>
      </w:r>
      <w:hyperlink r:id="rId10" w:anchor="/document/16798613?unitId=art(17)ust(1)&amp;cm=DOCUMENT">
        <w:r w:rsidRPr="00CB25DC">
          <w:rPr>
            <w:rStyle w:val="Hipercze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art. 17 ust. 1</w:t>
        </w:r>
      </w:hyperlink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 Konstytucji Rzeczypospolitej Polskiej oraz nie jest niezgodny z </w:t>
      </w:r>
      <w:hyperlink r:id="rId11" w:anchor="/document/16798613?unitId=art(63)&amp;cm=DOCUMENT">
        <w:r w:rsidRPr="00CB25DC">
          <w:rPr>
            <w:rStyle w:val="Hipercze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art. 63</w:t>
        </w:r>
      </w:hyperlink>
      <w:r w:rsidRPr="00CB25DC">
        <w:rPr>
          <w:rFonts w:ascii="Times New Roman" w:eastAsia="Open Sans" w:hAnsi="Times New Roman" w:cs="Times New Roman"/>
          <w:sz w:val="24"/>
          <w:szCs w:val="24"/>
        </w:rPr>
        <w:t xml:space="preserve"> Konstytucji.</w:t>
      </w:r>
    </w:p>
    <w:p w14:paraId="23B73025" w14:textId="49C73928" w:rsidR="00EF3BB3" w:rsidRPr="00CB25DC" w:rsidRDefault="00EF3BB3" w:rsidP="6D0DBEA5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br/>
      </w:r>
      <w:r w:rsidR="6D0DBEA5" w:rsidRPr="00CB25DC">
        <w:rPr>
          <w:rFonts w:ascii="Times New Roman" w:hAnsi="Times New Roman" w:cs="Times New Roman"/>
          <w:sz w:val="24"/>
          <w:szCs w:val="24"/>
        </w:rPr>
        <w:t>- wnioski na płaszczyźnie cywilnoprawnej :</w:t>
      </w:r>
    </w:p>
    <w:p w14:paraId="1501BB55" w14:textId="43F0A57B" w:rsidR="00EF3BB3" w:rsidRPr="00CB25DC" w:rsidRDefault="00EF3BB3" w:rsidP="6D0DBEA5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Wątpliwość: czy krytyka dopuszczalna na zasadach ogólnych a niedopuszczalna wg przepisów korporacyjnych stanowi działanie bezprawne w rozumieniu art. 24 k.c.?</w:t>
      </w:r>
    </w:p>
    <w:p w14:paraId="0015B02A" w14:textId="2023F58D" w:rsidR="00EF3BB3" w:rsidRPr="00CB25DC" w:rsidRDefault="6D0DBEA5" w:rsidP="6D0DBEA5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czy działanie w zgodzie z zasadami deontologii może stanowić okoliczność wyłączającą bezprawność naruszenia dóbr osobistych?</w:t>
      </w:r>
    </w:p>
    <w:p w14:paraId="545B70CE" w14:textId="36714173" w:rsidR="00EF3BB3" w:rsidRPr="00CB25DC" w:rsidRDefault="6D0DBEA5" w:rsidP="6D0DBEA5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Teza: zasady deontologiczne doprecyzowują przesłankę winy (wyższy poziom oczekiwanej staranności)</w:t>
      </w:r>
    </w:p>
    <w:p w14:paraId="45EDEABC" w14:textId="6593FF9B" w:rsidR="00EF3BB3" w:rsidRPr="00CB25DC" w:rsidRDefault="6D0DBEA5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4. Wypowiedzi łamiące standardy zawodu</w:t>
      </w:r>
    </w:p>
    <w:p w14:paraId="74DA4B5A" w14:textId="442E6392" w:rsidR="00EF3BB3" w:rsidRPr="00CB25DC" w:rsidRDefault="6D0DBEA5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- przykład procesów dyscyplinarnych lekarzy antyszczepionkowców</w:t>
      </w:r>
    </w:p>
    <w:p w14:paraId="5C406713" w14:textId="093D45A0" w:rsidR="6D0DBEA5" w:rsidRPr="00CB25DC" w:rsidRDefault="6D0DBEA5" w:rsidP="6D0DBEA5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>Teza: wypowiedzi członka samorządu sprzeczne z aktualną wiedzą (standardem) są bezprawne i potencjalnie mogą (przy spełnieniu innych przesłanek) być źródłem odpowiedzialności cywilnej</w:t>
      </w:r>
    </w:p>
    <w:p w14:paraId="7C74F9B2" w14:textId="48653F1B" w:rsidR="00EF3BB3" w:rsidRPr="00CB25DC" w:rsidRDefault="6D0DBEA5" w:rsidP="00EF3BB3">
      <w:pPr>
        <w:rPr>
          <w:rFonts w:ascii="Times New Roman" w:hAnsi="Times New Roman" w:cs="Times New Roman"/>
          <w:sz w:val="24"/>
          <w:szCs w:val="24"/>
        </w:rPr>
      </w:pPr>
      <w:r w:rsidRPr="00CB25DC">
        <w:rPr>
          <w:rFonts w:ascii="Times New Roman" w:hAnsi="Times New Roman" w:cs="Times New Roman"/>
          <w:sz w:val="24"/>
          <w:szCs w:val="24"/>
        </w:rPr>
        <w:t xml:space="preserve">Teza: standardy deontologiczne mają znaczenie dla ustalenie winy w wypadku wyrządzenia szkody poprzez przekroczenie granic </w:t>
      </w:r>
      <w:r w:rsidR="00CB25DC" w:rsidRPr="00CB25DC">
        <w:rPr>
          <w:rFonts w:ascii="Times New Roman" w:hAnsi="Times New Roman" w:cs="Times New Roman"/>
          <w:sz w:val="24"/>
          <w:szCs w:val="24"/>
        </w:rPr>
        <w:t>wolności</w:t>
      </w:r>
      <w:r w:rsidRPr="00CB25DC">
        <w:rPr>
          <w:rFonts w:ascii="Times New Roman" w:hAnsi="Times New Roman" w:cs="Times New Roman"/>
          <w:sz w:val="24"/>
          <w:szCs w:val="24"/>
        </w:rPr>
        <w:t xml:space="preserve"> słowa </w:t>
      </w:r>
    </w:p>
    <w:sectPr w:rsidR="00EF3BB3" w:rsidRPr="00CB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655"/>
    <w:multiLevelType w:val="hybridMultilevel"/>
    <w:tmpl w:val="02A8206A"/>
    <w:lvl w:ilvl="0" w:tplc="B0DEC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127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AB"/>
    <w:rsid w:val="00340B9D"/>
    <w:rsid w:val="00513FB3"/>
    <w:rsid w:val="00961139"/>
    <w:rsid w:val="00A503AB"/>
    <w:rsid w:val="00CB25DC"/>
    <w:rsid w:val="00EF3BB3"/>
    <w:rsid w:val="6D0DB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14EA"/>
  <w15:chartTrackingRefBased/>
  <w15:docId w15:val="{7096C431-B62B-4115-A3D4-E8463537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642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Księżak</dc:creator>
  <cp:keywords/>
  <dc:description/>
  <cp:lastModifiedBy>Paweł Księżak</cp:lastModifiedBy>
  <cp:revision>5</cp:revision>
  <dcterms:created xsi:type="dcterms:W3CDTF">2023-03-18T06:46:00Z</dcterms:created>
  <dcterms:modified xsi:type="dcterms:W3CDTF">2023-03-18T09:14:00Z</dcterms:modified>
</cp:coreProperties>
</file>